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Técnicas de Comunicação e Informação II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616062420"/>
            <w:placeholder>
              <w:docPart w:val="7371FA90AD014E9288ABB168DB8BC127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521004739"/>
                <w:placeholder>
                  <w:docPart w:val="9ECFCC790CC945C2BA9282622429B64E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EF21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57AD325D" wp14:editId="2A71F0EE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21BC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71FA90AD014E9288ABB168DB8BC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01B49-B842-4439-8029-3E694BE4E4C4}"/>
      </w:docPartPr>
      <w:docPartBody>
        <w:p w:rsidR="00BD714F" w:rsidRDefault="00AB42E1" w:rsidP="00AB42E1">
          <w:pPr>
            <w:pStyle w:val="7371FA90AD014E9288ABB168DB8BC127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9ECFCC790CC945C2BA9282622429B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36004-0930-4731-B1B3-DE71BD9CA899}"/>
      </w:docPartPr>
      <w:docPartBody>
        <w:p w:rsidR="00BD714F" w:rsidRDefault="00AB42E1" w:rsidP="00AB42E1">
          <w:pPr>
            <w:pStyle w:val="9ECFCC790CC945C2BA9282622429B64E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BD714F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27C5-1E55-4901-8389-32A22EF6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