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Técnicas de Comunicação e Informação I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4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454017009"/>
            <w:placeholder>
              <w:docPart w:val="ED3E500F5B3C441ABC50DBB9391C5DDE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651134446"/>
                <w:placeholder>
                  <w:docPart w:val="7B89BD8C46654400A512EAC135BD0B3A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0E67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29035492" wp14:editId="7FD023E6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0E67AC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3E500F5B3C441ABC50DBB9391C5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54A89-4612-4758-ADBD-C1699BAA0A63}"/>
      </w:docPartPr>
      <w:docPartBody>
        <w:p w:rsidR="007710E5" w:rsidRDefault="00AB42E1" w:rsidP="00AB42E1">
          <w:pPr>
            <w:pStyle w:val="ED3E500F5B3C441ABC50DBB9391C5DDE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7B89BD8C46654400A512EAC135BD0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FBDE4-EBD4-4DE9-A90E-32882C5E34BB}"/>
      </w:docPartPr>
      <w:docPartBody>
        <w:p w:rsidR="007710E5" w:rsidRDefault="00AB42E1" w:rsidP="00AB42E1">
          <w:pPr>
            <w:pStyle w:val="7B89BD8C46654400A512EAC135BD0B3A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7710E5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18F2-21A7-43AE-B5AD-DEE653D0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1001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2017-09-11T17:58:00Z</dcterms:modified>
</cp:coreProperties>
</file>