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Risco, Comportamento e Impactes do fogo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4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1925020207"/>
            <w:placeholder>
              <w:docPart w:val="25E61B4FB5A844D6BBE6258C4F442387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112340045"/>
                <w:placeholder>
                  <w:docPart w:val="FE80D3CAA1FE4986ABD7BFA935159477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3D05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269FCA4A" wp14:editId="5B203B45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D053B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61B4FB5A844D6BBE6258C4F442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6AD6-BDAE-4109-8A6B-93B19C2E1C48}"/>
      </w:docPartPr>
      <w:docPartBody>
        <w:p w:rsidR="00F6317E" w:rsidRDefault="00AB42E1" w:rsidP="00AB42E1">
          <w:pPr>
            <w:pStyle w:val="25E61B4FB5A844D6BBE6258C4F442387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FE80D3CAA1FE4986ABD7BFA935159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ED4E8-22B4-42AF-9013-7096DD0806F6}"/>
      </w:docPartPr>
      <w:docPartBody>
        <w:p w:rsidR="00F6317E" w:rsidRDefault="00AB42E1" w:rsidP="00AB42E1">
          <w:pPr>
            <w:pStyle w:val="FE80D3CAA1FE4986ABD7BFA935159477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F6317E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6060-B5CC-4A1F-BA58-1D4AAE09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1001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